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2C" w:rsidRPr="001903CF" w:rsidRDefault="0016432C" w:rsidP="001903CF">
      <w:pPr>
        <w:spacing w:after="0" w:line="250" w:lineRule="atLeast"/>
        <w:jc w:val="center"/>
        <w:rPr>
          <w:rFonts w:eastAsia="Times New Roman" w:cs="Times New Roman"/>
          <w:caps/>
          <w:sz w:val="24"/>
          <w:szCs w:val="24"/>
        </w:rPr>
      </w:pPr>
      <w:r w:rsidRPr="001903CF">
        <w:rPr>
          <w:rFonts w:eastAsia="Times New Roman" w:cs="Times New Roman"/>
          <w:caps/>
          <w:sz w:val="24"/>
          <w:szCs w:val="24"/>
        </w:rPr>
        <w:t xml:space="preserve">RESOLUÇÃO Nº 4.344, DE 25 DE JUNHO DE </w:t>
      </w:r>
      <w:proofErr w:type="gramStart"/>
      <w:r w:rsidRPr="001903CF">
        <w:rPr>
          <w:rFonts w:eastAsia="Times New Roman" w:cs="Times New Roman"/>
          <w:caps/>
          <w:sz w:val="24"/>
          <w:szCs w:val="24"/>
        </w:rPr>
        <w:t>2014</w:t>
      </w:r>
      <w:proofErr w:type="gramEnd"/>
    </w:p>
    <w:p w:rsidR="001903CF" w:rsidRPr="001903CF" w:rsidRDefault="001903CF" w:rsidP="001903CF">
      <w:pPr>
        <w:spacing w:after="0" w:line="250" w:lineRule="atLeast"/>
        <w:jc w:val="both"/>
        <w:rPr>
          <w:rFonts w:eastAsia="Times New Roman" w:cs="Times New Roman"/>
          <w:caps/>
          <w:sz w:val="24"/>
          <w:szCs w:val="24"/>
        </w:rPr>
      </w:pPr>
    </w:p>
    <w:p w:rsidR="00FE6FF9" w:rsidRPr="001903CF" w:rsidRDefault="00FE6FF9" w:rsidP="00FE6FF9">
      <w:pPr>
        <w:spacing w:after="0" w:line="250" w:lineRule="atLeast"/>
        <w:ind w:left="3540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Dispõe sobre as normas do Programa Nacional de Fortalecimento da Agricultura Familiar (Pronaf), de que trata o Capítulo 10 do Manual de Crédito Rural (MCR), para aplicação a partir da Safra 2014/2015.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O Banco Central do Brasil, na forma do art. 9º da Lei nº 4.595, de 31 de dezembro de 1964, torna público que o Conselho Monetário Nacional, em sessão realizada em 25 de junho de 2014, tendo em vista as disposições do art. 4º, inciso </w:t>
      </w:r>
      <w:proofErr w:type="gramStart"/>
      <w:r w:rsidRPr="001903CF">
        <w:rPr>
          <w:rFonts w:eastAsia="Times New Roman" w:cs="Times New Roman"/>
          <w:sz w:val="24"/>
          <w:szCs w:val="24"/>
        </w:rPr>
        <w:t>VI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, da Lei nº 4.595, de 1964, dos </w:t>
      </w:r>
      <w:proofErr w:type="spellStart"/>
      <w:r w:rsidRPr="001903CF">
        <w:rPr>
          <w:rFonts w:eastAsia="Times New Roman" w:cs="Times New Roman"/>
          <w:sz w:val="24"/>
          <w:szCs w:val="24"/>
        </w:rPr>
        <w:t>arts</w:t>
      </w:r>
      <w:proofErr w:type="spellEnd"/>
      <w:r w:rsidRPr="001903CF">
        <w:rPr>
          <w:rFonts w:eastAsia="Times New Roman" w:cs="Times New Roman"/>
          <w:sz w:val="24"/>
          <w:szCs w:val="24"/>
        </w:rPr>
        <w:t xml:space="preserve">. 4º e 14 da Lei nº 4.829, de </w:t>
      </w:r>
      <w:proofErr w:type="gramStart"/>
      <w:r w:rsidRPr="001903CF">
        <w:rPr>
          <w:rFonts w:eastAsia="Times New Roman" w:cs="Times New Roman"/>
          <w:sz w:val="24"/>
          <w:szCs w:val="24"/>
        </w:rPr>
        <w:t>5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de novembro de 1965, e do Decreto nº 4.892, de 25 de novembro de 2003,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R E S O L V E </w:t>
      </w:r>
      <w:proofErr w:type="gramStart"/>
      <w:r w:rsidRPr="001903CF">
        <w:rPr>
          <w:rFonts w:eastAsia="Times New Roman" w:cs="Times New Roman"/>
          <w:sz w:val="24"/>
          <w:szCs w:val="24"/>
        </w:rPr>
        <w:t>U :</w:t>
      </w:r>
      <w:proofErr w:type="gramEnd"/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Art. 1º  Os itens </w:t>
      </w:r>
      <w:proofErr w:type="gramStart"/>
      <w:r w:rsidRPr="001903CF">
        <w:rPr>
          <w:rFonts w:eastAsia="Times New Roman" w:cs="Times New Roman"/>
          <w:sz w:val="24"/>
          <w:szCs w:val="24"/>
        </w:rPr>
        <w:t>2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e 15 da Seção 1 (Disposições Gerais) do Capítulo 10 (Programa Nacional de Fortalecimento da Agricultura Familiar – Pronaf) do Manual de Crédito Rural (MCR) passam a vigorar com a seguinte redação: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“2 </w:t>
      </w:r>
      <w:proofErr w:type="gramStart"/>
      <w:r w:rsidRPr="001903CF">
        <w:rPr>
          <w:rFonts w:eastAsia="Times New Roman" w:cs="Times New Roman"/>
          <w:sz w:val="24"/>
          <w:szCs w:val="24"/>
        </w:rPr>
        <w:t>- ...</w:t>
      </w:r>
      <w:proofErr w:type="gramEnd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a) ...</w:t>
      </w:r>
      <w:proofErr w:type="gramEnd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V - quando financiados, devem ter seus custos calculados na forma do MCR 2-4, </w:t>
      </w:r>
      <w:proofErr w:type="gramStart"/>
      <w:r w:rsidRPr="001903CF">
        <w:rPr>
          <w:rFonts w:eastAsia="Times New Roman" w:cs="Times New Roman"/>
          <w:sz w:val="24"/>
          <w:szCs w:val="24"/>
        </w:rPr>
        <w:t>exceto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903CF">
        <w:rPr>
          <w:rFonts w:eastAsia="Times New Roman" w:cs="Times New Roman"/>
          <w:sz w:val="24"/>
          <w:szCs w:val="24"/>
        </w:rPr>
        <w:t>para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os financiamentos de que trata o MCR 10-16, 10-17 e 10-20, que têm custos específicos de assistência técnica;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proofErr w:type="gramEnd"/>
      <w:r w:rsidRPr="001903CF">
        <w:rPr>
          <w:rFonts w:eastAsia="Times New Roman" w:cs="Times New Roman"/>
          <w:sz w:val="24"/>
          <w:szCs w:val="24"/>
        </w:rPr>
        <w:t>” (NR)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“15 </w:t>
      </w:r>
      <w:proofErr w:type="gramStart"/>
      <w:r w:rsidRPr="001903CF">
        <w:rPr>
          <w:rFonts w:eastAsia="Times New Roman" w:cs="Times New Roman"/>
          <w:sz w:val="24"/>
          <w:szCs w:val="24"/>
        </w:rPr>
        <w:t>- ...</w:t>
      </w:r>
      <w:proofErr w:type="gramEnd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proofErr w:type="gramEnd"/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g) linha de crédito de investimento ao amparo e nas condições do MCR 13-2 ou do MCR 13-6 ou do MCR 13-10, quando relacionados às ações enquadradas na Linha de Crédito Pronaf Agroindústria, de que trata o MCR 10-6, destinada a cooperativa de produção, observado que ao optar por uma dessas modalidades de financiamento, o beneficiário fica impedido de contratar qualquer valor ao amparo do MCR 10-6 no mesmo ano agrícola.” (NR</w:t>
      </w:r>
      <w:proofErr w:type="gramStart"/>
      <w:r w:rsidRPr="001903CF">
        <w:rPr>
          <w:rFonts w:eastAsia="Times New Roman" w:cs="Times New Roman"/>
          <w:sz w:val="24"/>
          <w:szCs w:val="24"/>
        </w:rPr>
        <w:t>)</w:t>
      </w:r>
      <w:proofErr w:type="gramEnd"/>
    </w:p>
    <w:p w:rsidR="001903CF" w:rsidRDefault="001903CF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Art. 2º  O item </w:t>
      </w:r>
      <w:proofErr w:type="gramStart"/>
      <w:r w:rsidRPr="001903CF">
        <w:rPr>
          <w:rFonts w:eastAsia="Times New Roman" w:cs="Times New Roman"/>
          <w:sz w:val="24"/>
          <w:szCs w:val="24"/>
        </w:rPr>
        <w:t>1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da Seção 14 (Crédito de Investimento para Agroecologia – Pronaf Agroecologia) do Capítulo 10 do MCR passa a vigorar com a seguinte redação: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“1 </w:t>
      </w:r>
      <w:proofErr w:type="gramStart"/>
      <w:r w:rsidRPr="001903CF">
        <w:rPr>
          <w:rFonts w:eastAsia="Times New Roman" w:cs="Times New Roman"/>
          <w:sz w:val="24"/>
          <w:szCs w:val="24"/>
        </w:rPr>
        <w:t>- ...</w:t>
      </w:r>
      <w:proofErr w:type="gramEnd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a) ...</w:t>
      </w:r>
      <w:proofErr w:type="gramEnd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I - sistemas de produção de base agroecológica, ou em transição para sistemas de base agroecológica, conforme normas estabelecidas pela Secretaria da Agricultura Familiar (SAF) do Ministério do Desenvolvimento Agrário (MDA);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proofErr w:type="gramEnd"/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b) finalidades: financiamento dos sistemas de base agroecológica ou orgânicos, incluindo-se os custos relativos à implantação e manutenção do empreendimento;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c) o limite por beneficiário e o prazo de reembolso são os estabelecidos no MCR 10-5-5, observado o MCR 10-1-34;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d) encargos financeiros: taxa efetiva de juros de 1% a.a. (um por cento ao ano);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e) </w:t>
      </w:r>
      <w:proofErr w:type="gramStart"/>
      <w:r w:rsidRPr="001903CF">
        <w:rPr>
          <w:rFonts w:eastAsia="Times New Roman" w:cs="Times New Roman"/>
          <w:sz w:val="24"/>
          <w:szCs w:val="24"/>
        </w:rPr>
        <w:t>assistência técnica: obrigatória.”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(NR)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lastRenderedPageBreak/>
        <w:t>Art. 3º</w:t>
      </w:r>
      <w:proofErr w:type="gramStart"/>
      <w:r w:rsidRPr="001903CF">
        <w:rPr>
          <w:rFonts w:eastAsia="Times New Roman" w:cs="Times New Roman"/>
          <w:sz w:val="24"/>
          <w:szCs w:val="24"/>
        </w:rPr>
        <w:t xml:space="preserve">  </w:t>
      </w:r>
      <w:proofErr w:type="gramEnd"/>
      <w:r w:rsidRPr="001903CF">
        <w:rPr>
          <w:rFonts w:eastAsia="Times New Roman" w:cs="Times New Roman"/>
          <w:sz w:val="24"/>
          <w:szCs w:val="24"/>
        </w:rPr>
        <w:t>Os itens 9 e 10 da Seção 18 (Normas Transitórias) do Capítulo 10 do MCR passam a vigorar com a seguinte redação: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“9 - No ano agrícola 2014/2015, as operações de crédito rural de custeio realizadas por agricultores familiares cujo empreendimento esteja localizado em municípios do semiárido da área de abrangência da Superintendência do Desenvolvimento do Nordeste (</w:t>
      </w:r>
      <w:proofErr w:type="gramStart"/>
      <w:r w:rsidRPr="001903CF">
        <w:rPr>
          <w:rFonts w:eastAsia="Times New Roman" w:cs="Times New Roman"/>
          <w:sz w:val="24"/>
          <w:szCs w:val="24"/>
        </w:rPr>
        <w:t>Sudene</w:t>
      </w:r>
      <w:proofErr w:type="gramEnd"/>
      <w:r w:rsidRPr="001903CF">
        <w:rPr>
          <w:rFonts w:eastAsia="Times New Roman" w:cs="Times New Roman"/>
          <w:sz w:val="24"/>
          <w:szCs w:val="24"/>
        </w:rPr>
        <w:t>), com decretação de estado de calamidade ou situação de emergência em função de seca ou estiagem reconhecida pelo Ministério da Integração Nacional e vigente na data da contratação, ficam sujeitas às normas gerais do Pronaf e às seguintes condições específicas: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proofErr w:type="gramEnd"/>
      <w:r w:rsidRPr="001903CF">
        <w:rPr>
          <w:rFonts w:eastAsia="Times New Roman" w:cs="Times New Roman"/>
          <w:sz w:val="24"/>
          <w:szCs w:val="24"/>
        </w:rPr>
        <w:t>” (NR)</w:t>
      </w:r>
    </w:p>
    <w:p w:rsidR="00FE6FF9" w:rsidRPr="001903CF" w:rsidRDefault="00FE6FF9" w:rsidP="005108D3">
      <w:pPr>
        <w:tabs>
          <w:tab w:val="left" w:pos="1560"/>
        </w:tabs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“10 - No ano agrícola 2014/2015, as operações de crédito rural de investimento realizadas por agricultores familiares cujo empreendimento esteja localizado em municípios do semiárido da área de abrangência da Superintendência do Desenvolvimento do Nordeste (</w:t>
      </w:r>
      <w:proofErr w:type="gramStart"/>
      <w:r w:rsidRPr="001903CF">
        <w:rPr>
          <w:rFonts w:eastAsia="Times New Roman" w:cs="Times New Roman"/>
          <w:sz w:val="24"/>
          <w:szCs w:val="24"/>
        </w:rPr>
        <w:t>Sudene</w:t>
      </w:r>
      <w:proofErr w:type="gramEnd"/>
      <w:r w:rsidRPr="001903CF">
        <w:rPr>
          <w:rFonts w:eastAsia="Times New Roman" w:cs="Times New Roman"/>
          <w:sz w:val="24"/>
          <w:szCs w:val="24"/>
        </w:rPr>
        <w:t>), com decretação de estado de calamidade ou situação de emergência em função de seca ou estiagem reconhecida pelo Ministério da Integração Nacional e vigente na data da contratação, ficam sujeitas às normas gerais do Pronaf e às seguintes condições específicas: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proofErr w:type="gramStart"/>
      <w:r w:rsidRPr="001903CF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proofErr w:type="gramEnd"/>
      <w:r w:rsidRPr="001903CF">
        <w:rPr>
          <w:rFonts w:eastAsia="Times New Roman" w:cs="Times New Roman"/>
          <w:sz w:val="24"/>
          <w:szCs w:val="24"/>
        </w:rPr>
        <w:t>” (NR)</w:t>
      </w:r>
    </w:p>
    <w:p w:rsidR="00FE6FF9" w:rsidRPr="001903CF" w:rsidRDefault="00FE6FF9" w:rsidP="00FE6FF9">
      <w:pPr>
        <w:spacing w:after="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Art. 4º</w:t>
      </w:r>
      <w:proofErr w:type="gramStart"/>
      <w:r w:rsidRPr="001903CF">
        <w:rPr>
          <w:rFonts w:eastAsia="Times New Roman" w:cs="Times New Roman"/>
          <w:sz w:val="24"/>
          <w:szCs w:val="24"/>
        </w:rPr>
        <w:t xml:space="preserve">  </w:t>
      </w:r>
      <w:proofErr w:type="gramEnd"/>
      <w:r w:rsidRPr="001903CF">
        <w:rPr>
          <w:rFonts w:eastAsia="Times New Roman" w:cs="Times New Roman"/>
          <w:sz w:val="24"/>
          <w:szCs w:val="24"/>
        </w:rPr>
        <w:t>O Capítulo 10 do MCR passa a vigorar acrescido da Seção 20 - Crédito Produtivo Orientado de Investimento (Pronaf Produtivo Orientado), conforme o Anexo a esta Resolução.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Art. 5º  Esta Resolução entra em vigor na data de sua publicação, produzindo efeitos a partir de 1º de julho de 2014.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1903CF">
      <w:pPr>
        <w:spacing w:after="100" w:line="250" w:lineRule="atLeast"/>
        <w:jc w:val="center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Alexandre Ant</w:t>
      </w:r>
      <w:r w:rsidR="001903CF">
        <w:rPr>
          <w:rFonts w:eastAsia="Times New Roman" w:cs="Times New Roman"/>
          <w:sz w:val="24"/>
          <w:szCs w:val="24"/>
        </w:rPr>
        <w:t>ô</w:t>
      </w:r>
      <w:r w:rsidRPr="001903CF">
        <w:rPr>
          <w:rFonts w:eastAsia="Times New Roman" w:cs="Times New Roman"/>
          <w:sz w:val="24"/>
          <w:szCs w:val="24"/>
        </w:rPr>
        <w:t xml:space="preserve">nio </w:t>
      </w:r>
      <w:proofErr w:type="spellStart"/>
      <w:r w:rsidRPr="001903CF">
        <w:rPr>
          <w:rFonts w:eastAsia="Times New Roman" w:cs="Times New Roman"/>
          <w:sz w:val="24"/>
          <w:szCs w:val="24"/>
        </w:rPr>
        <w:t>Tombini</w:t>
      </w:r>
      <w:proofErr w:type="spellEnd"/>
    </w:p>
    <w:p w:rsidR="00FE6FF9" w:rsidRPr="001903CF" w:rsidRDefault="00FE6FF9" w:rsidP="001903CF">
      <w:pPr>
        <w:spacing w:after="100" w:line="250" w:lineRule="atLeast"/>
        <w:jc w:val="center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Presidente do Banco Central do Brasil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br/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</w:p>
    <w:p w:rsidR="00FE6FF9" w:rsidRPr="001903CF" w:rsidRDefault="00FE6FF9" w:rsidP="005108D3">
      <w:pPr>
        <w:spacing w:after="100" w:line="250" w:lineRule="atLeast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lastRenderedPageBreak/>
        <w:t>TÍTULO: CRÉDITO RURAL</w:t>
      </w:r>
    </w:p>
    <w:p w:rsidR="005108D3" w:rsidRDefault="00FE6FF9" w:rsidP="005108D3">
      <w:pPr>
        <w:pBdr>
          <w:bottom w:val="single" w:sz="4" w:space="1" w:color="auto"/>
        </w:pBdr>
        <w:spacing w:after="100" w:line="250" w:lineRule="atLeast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CAPÍTUL</w:t>
      </w:r>
      <w:bookmarkStart w:id="0" w:name="_GoBack"/>
      <w:bookmarkEnd w:id="0"/>
      <w:r w:rsidRPr="001903CF">
        <w:rPr>
          <w:rFonts w:eastAsia="Times New Roman" w:cs="Times New Roman"/>
          <w:sz w:val="24"/>
          <w:szCs w:val="24"/>
        </w:rPr>
        <w:t>O: Programa Nacional de Fortalecimento da Agricultura Familiar (Pronaf) - 10</w:t>
      </w:r>
      <w:r w:rsidRPr="001903CF">
        <w:rPr>
          <w:rFonts w:eastAsia="Times New Roman" w:cs="Times New Roman"/>
          <w:sz w:val="24"/>
          <w:szCs w:val="24"/>
        </w:rPr>
        <w:br/>
        <w:t>SEÇÃO: Crédito Produtivo Orientado de Investimento (P</w:t>
      </w:r>
      <w:r w:rsidR="005108D3">
        <w:rPr>
          <w:rFonts w:eastAsia="Times New Roman" w:cs="Times New Roman"/>
          <w:sz w:val="24"/>
          <w:szCs w:val="24"/>
        </w:rPr>
        <w:t>ronaf Produtivo Orientado) - 20</w:t>
      </w:r>
    </w:p>
    <w:p w:rsidR="005108D3" w:rsidRDefault="005108D3" w:rsidP="005108D3">
      <w:pPr>
        <w:spacing w:after="100" w:line="250" w:lineRule="atLeast"/>
        <w:rPr>
          <w:rFonts w:eastAsia="Times New Roman" w:cs="Times New Roman"/>
          <w:sz w:val="24"/>
          <w:szCs w:val="24"/>
        </w:rPr>
      </w:pPr>
    </w:p>
    <w:p w:rsidR="005108D3" w:rsidRDefault="00FE6FF9" w:rsidP="005108D3">
      <w:pPr>
        <w:spacing w:after="100" w:line="250" w:lineRule="atLeast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1 - Os financiamentos ao amparo da Linha de Crédito Produtivo Orientado de Investimento (Pronaf Produtivo Orientado) sujeitam-se às seguintes condições especiais:</w:t>
      </w:r>
    </w:p>
    <w:p w:rsidR="005108D3" w:rsidRDefault="00FE6FF9" w:rsidP="005108D3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a) beneficiários: produtores rurais e suas cooperativas, cujo empreendimento esteja localizado nas regiões de atuação dos Fundos Constitucionais de Financiamento do Nordeste (FNE), do Norte (FNO) e do Centro-Oeste (FCO);</w:t>
      </w:r>
    </w:p>
    <w:p w:rsidR="00FE6FF9" w:rsidRPr="001903CF" w:rsidRDefault="00FE6FF9" w:rsidP="005108D3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b) finalidades: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I - possibilitar o acesso ao crédito rural educativo, em que o suprimento de recursos será conjugado com a prestação de assistência técnica, compreendendo o planejamento, a orientação e a supervisão à unidade familiar de produção;</w:t>
      </w:r>
    </w:p>
    <w:p w:rsidR="005108D3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II - incorporar inovação tecnológica nas unidades familiares de produção, que possam facilitar a convivência com o bioma, aumentar a produtividade com a adoção de boas práticas agropecuárias e de gestão da propriedade rural e elevar a renda dos beneficiários;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III - possibilitar a implantação de Sistemas Agroflorestais, exploração extrativista ecologicamente sustentável, os planos de manejo e manejo florestal, incluindo-se os custos relativos à implantação e manutenção do empreendimento;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IV - viabilizar a implantação de infraestrutura de captação, armazenamento e distribuição de água e agricultura irrigada;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V - estimular a exploração de sistemas produtivos com reserva de alimentos para os animais, observados os períodos de adversidades climáticas regionais;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VI - estimular o financiamento de sistemas de produção de base agroecológica ou orgânicos, incluindo-se os custos relativos à implantação e manutenção do empreendimento, de acordo com o disposto no MCR 10-14-1;</w:t>
      </w:r>
    </w:p>
    <w:p w:rsidR="005108D3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VII - apoiar a recomposição e manutenção de áreas de preservação permanente e reserva legal e recuperação de áreas degradadas, para o cumpr</w:t>
      </w:r>
      <w:r w:rsidR="005108D3">
        <w:rPr>
          <w:rFonts w:eastAsia="Times New Roman" w:cs="Times New Roman"/>
          <w:sz w:val="24"/>
          <w:szCs w:val="24"/>
        </w:rPr>
        <w:t>imento de legislação ambiental;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VIII - estimular o enriquecimento de áreas com cobertura florestal natural, por meio do plantio de uma ou mais espécie florestal, nativa do bioma;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IX - possibilitar a aquisição e a instalação de estruturas de cultivo protegido e de armazenagem de pequena escala;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X - apoiar a recuperação e fortalecimento da pecuária leiteira; </w:t>
      </w:r>
      <w:proofErr w:type="gramStart"/>
      <w:r w:rsidRPr="001903CF">
        <w:rPr>
          <w:rFonts w:eastAsia="Times New Roman" w:cs="Times New Roman"/>
          <w:sz w:val="24"/>
          <w:szCs w:val="24"/>
        </w:rPr>
        <w:t>e</w:t>
      </w:r>
      <w:proofErr w:type="gramEnd"/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XI - financiar o pagamento dos serviços de assistência técnica e extensão rural;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c) limites por beneficiário: mínimo de R$18.000,00 (dezoito mil reais) e máximo de R$40.000,00 (quarenta mil reais) por operação, por ano agrícola, observado o disposto no MCR 10-1-22, e ainda que: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I - o crédito deve ser destinado, prioritariamente, à implantação, construção, ampliação, recuperação ou modernização da infraestrutura necessária para a convivência com o bioma; </w:t>
      </w:r>
      <w:proofErr w:type="gramStart"/>
      <w:r w:rsidRPr="001903CF">
        <w:rPr>
          <w:rFonts w:eastAsia="Times New Roman" w:cs="Times New Roman"/>
          <w:sz w:val="24"/>
          <w:szCs w:val="24"/>
        </w:rPr>
        <w:t>e</w:t>
      </w:r>
      <w:proofErr w:type="gramEnd"/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II - o valor restante do crédito deve ser destinado ao plantio, tratos culturais e implantação, ampliação, recuperação ou modernização das demais infraestruturas de produção e serviços </w:t>
      </w:r>
      <w:r w:rsidRPr="001903CF">
        <w:rPr>
          <w:rFonts w:eastAsia="Times New Roman" w:cs="Times New Roman"/>
          <w:sz w:val="24"/>
          <w:szCs w:val="24"/>
        </w:rPr>
        <w:lastRenderedPageBreak/>
        <w:t xml:space="preserve">agropecuários e não </w:t>
      </w:r>
      <w:proofErr w:type="gramStart"/>
      <w:r w:rsidRPr="001903CF">
        <w:rPr>
          <w:rFonts w:eastAsia="Times New Roman" w:cs="Times New Roman"/>
          <w:sz w:val="24"/>
          <w:szCs w:val="24"/>
        </w:rPr>
        <w:t>agropecuários, inclusive aquisição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de animais e remuneração da assistência técnica, em conformidade com o cronograma de liberação constante do projeto técnico;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d) encargos financeiros: taxa efetiva de juros de 1% a.a. (um por cento ao ano);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e) assistência técnica: obrigatória e remunerada durante os </w:t>
      </w:r>
      <w:proofErr w:type="gramStart"/>
      <w:r w:rsidRPr="001903CF">
        <w:rPr>
          <w:rFonts w:eastAsia="Times New Roman" w:cs="Times New Roman"/>
          <w:sz w:val="24"/>
          <w:szCs w:val="24"/>
        </w:rPr>
        <w:t>3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(três) primeiros anos do projeto com valor fixo de R$1.100,00 (um mil e cem reais) por ano agrícola, podendo esse valor ser elevado para R$1.500,00 (um mil e quinhentos reais) quando a assistência técnica for prestada a unidades familiares de produção da região Norte;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f) o pagamento da assistência técnica será efetuado mediante a prévia apresentação de </w:t>
      </w:r>
      <w:proofErr w:type="gramStart"/>
      <w:r w:rsidRPr="001903CF">
        <w:rPr>
          <w:rFonts w:eastAsia="Times New Roman" w:cs="Times New Roman"/>
          <w:sz w:val="24"/>
          <w:szCs w:val="24"/>
        </w:rPr>
        <w:t>2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(dois) laudos semestrais de acompanhamento, podendo o pagamento ser feito diretamente ao prestador dos serviços, mediante autorização do mutuário;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g) prazo de reembolso: até 10 (dez) anos, incluída a carência de </w:t>
      </w:r>
      <w:proofErr w:type="gramStart"/>
      <w:r w:rsidRPr="001903CF">
        <w:rPr>
          <w:rFonts w:eastAsia="Times New Roman" w:cs="Times New Roman"/>
          <w:sz w:val="24"/>
          <w:szCs w:val="24"/>
        </w:rPr>
        <w:t>3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(três) anos; e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h) benefício: </w:t>
      </w:r>
      <w:proofErr w:type="gramStart"/>
      <w:r w:rsidRPr="001903CF">
        <w:rPr>
          <w:rFonts w:eastAsia="Times New Roman" w:cs="Times New Roman"/>
          <w:sz w:val="24"/>
          <w:szCs w:val="24"/>
        </w:rPr>
        <w:t>bônus de adimplência fixo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de R$3.300,00 (três mil e trezentos reais), que pode ser elevado para R$4.500,00 (quatro mil e quinhentos reais) quando o crédito for destinado a financiamentos de empreendimentos nos municípios da região Norte, concedido proporcionalmente a cada parcela da dívida (principal e encargos) paga até a data de vencimento.</w:t>
      </w:r>
    </w:p>
    <w:p w:rsidR="005108D3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2 - A mesma unidade familiar de produção pode manter “em ser” até </w:t>
      </w:r>
      <w:proofErr w:type="gramStart"/>
      <w:r w:rsidRPr="001903CF">
        <w:rPr>
          <w:rFonts w:eastAsia="Times New Roman" w:cs="Times New Roman"/>
          <w:sz w:val="24"/>
          <w:szCs w:val="24"/>
        </w:rPr>
        <w:t>2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(dois) financiamentos na linha de que trata esta Seção, sendo que o segundo somente poderá ter financiada a Assistência Técnica e Extensão Rural (Ater) e fazer jus ao bônus de adimplência em valores proporcionais aos anos adicionais da assistência técnica financiada anteriormente e, ainda, à apresentação de laudo da assistência técnica que confirme a situação de regularidade do empreendimento financiado e capacidade de pagamento.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 xml:space="preserve">3 - Os financiamentos deverão prever a liberação de parcelas durante os </w:t>
      </w:r>
      <w:proofErr w:type="gramStart"/>
      <w:r w:rsidRPr="001903CF">
        <w:rPr>
          <w:rFonts w:eastAsia="Times New Roman" w:cs="Times New Roman"/>
          <w:sz w:val="24"/>
          <w:szCs w:val="24"/>
        </w:rPr>
        <w:t>3</w:t>
      </w:r>
      <w:proofErr w:type="gramEnd"/>
      <w:r w:rsidRPr="001903CF">
        <w:rPr>
          <w:rFonts w:eastAsia="Times New Roman" w:cs="Times New Roman"/>
          <w:sz w:val="24"/>
          <w:szCs w:val="24"/>
        </w:rPr>
        <w:t xml:space="preserve"> (três) primeiros anos do projeto.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4 - A análise prévia dos empreendimentos a serem financiados, assim compreendidos o diagnóstico, planejamento, elaboração dos projetos, ou planos simples de investimentos, o acompanhamento e supervisão da implantação dos projetos ou planos simples de investimento, a elaboração e envio dos laudos técnicos aos agentes financeiros e à Secretaria de Agricultura Familiar (SAF), serão realizados na forma definida pela SAF/MDA, conforme disposto no MCR 10-1-2-“b”.</w:t>
      </w:r>
    </w:p>
    <w:p w:rsidR="00FE6FF9" w:rsidRPr="001903CF" w:rsidRDefault="00FE6FF9" w:rsidP="00FE6FF9">
      <w:pPr>
        <w:spacing w:after="100" w:line="250" w:lineRule="atLeast"/>
        <w:jc w:val="both"/>
        <w:rPr>
          <w:rFonts w:eastAsia="Times New Roman" w:cs="Times New Roman"/>
          <w:sz w:val="24"/>
          <w:szCs w:val="24"/>
        </w:rPr>
      </w:pPr>
      <w:r w:rsidRPr="001903CF">
        <w:rPr>
          <w:rFonts w:eastAsia="Times New Roman" w:cs="Times New Roman"/>
          <w:sz w:val="24"/>
          <w:szCs w:val="24"/>
        </w:rPr>
        <w:t>5 - A fonte de recursos dos financiamentos e o bônus de adimplência concedidos nas operações desta linha serão amparados em recursos dos respectivos Fundos Constitucionais de Financiamento.</w:t>
      </w:r>
    </w:p>
    <w:p w:rsidR="009F113A" w:rsidRPr="001903CF" w:rsidRDefault="009F113A" w:rsidP="00FE6FF9">
      <w:pPr>
        <w:jc w:val="both"/>
        <w:rPr>
          <w:rFonts w:cs="Times New Roman"/>
          <w:sz w:val="24"/>
          <w:szCs w:val="24"/>
        </w:rPr>
      </w:pPr>
    </w:p>
    <w:sectPr w:rsidR="009F113A" w:rsidRPr="001903CF" w:rsidSect="001903C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F9"/>
    <w:rsid w:val="0016432C"/>
    <w:rsid w:val="001903CF"/>
    <w:rsid w:val="002C6245"/>
    <w:rsid w:val="002E2DD3"/>
    <w:rsid w:val="003B1AF7"/>
    <w:rsid w:val="005108D3"/>
    <w:rsid w:val="005D0069"/>
    <w:rsid w:val="008072EF"/>
    <w:rsid w:val="009F113A"/>
    <w:rsid w:val="00C40EFB"/>
    <w:rsid w:val="00C54405"/>
    <w:rsid w:val="00E67736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" w:color="auto"/>
            <w:bottom w:val="single" w:sz="4" w:space="0" w:color="auto"/>
            <w:right w:val="single" w:sz="2" w:space="3" w:color="auto"/>
          </w:divBdr>
        </w:div>
        <w:div w:id="187703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1691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de Oliveira Poleze</cp:lastModifiedBy>
  <cp:revision>9</cp:revision>
  <cp:lastPrinted>2014-06-26T13:32:00Z</cp:lastPrinted>
  <dcterms:created xsi:type="dcterms:W3CDTF">2014-06-26T13:09:00Z</dcterms:created>
  <dcterms:modified xsi:type="dcterms:W3CDTF">2014-06-26T13:41:00Z</dcterms:modified>
</cp:coreProperties>
</file>